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AB" w:rsidRPr="001E0939" w:rsidRDefault="0078538F" w:rsidP="001E0939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1E0939">
        <w:rPr>
          <w:b/>
          <w:sz w:val="32"/>
          <w:szCs w:val="32"/>
        </w:rPr>
        <w:t>L’Italien au</w:t>
      </w:r>
      <w:r w:rsidR="00615252">
        <w:rPr>
          <w:b/>
          <w:sz w:val="32"/>
          <w:szCs w:val="32"/>
        </w:rPr>
        <w:t>x</w:t>
      </w:r>
      <w:r w:rsidRPr="001E0939">
        <w:rPr>
          <w:b/>
          <w:sz w:val="32"/>
          <w:szCs w:val="32"/>
        </w:rPr>
        <w:t xml:space="preserve"> </w:t>
      </w:r>
      <w:proofErr w:type="gramStart"/>
      <w:r w:rsidR="00615252">
        <w:rPr>
          <w:b/>
          <w:sz w:val="32"/>
          <w:szCs w:val="32"/>
        </w:rPr>
        <w:t>collège</w:t>
      </w:r>
      <w:proofErr w:type="gramEnd"/>
      <w:r w:rsidR="00615252">
        <w:rPr>
          <w:b/>
          <w:sz w:val="32"/>
          <w:szCs w:val="32"/>
        </w:rPr>
        <w:t xml:space="preserve"> et </w:t>
      </w:r>
      <w:r w:rsidRPr="001E0939">
        <w:rPr>
          <w:b/>
          <w:sz w:val="32"/>
          <w:szCs w:val="32"/>
        </w:rPr>
        <w:t>lycée Henri Martin.</w:t>
      </w:r>
    </w:p>
    <w:p w:rsidR="0078538F" w:rsidRPr="001E0939" w:rsidRDefault="0078538F" w:rsidP="001E0939">
      <w:pPr>
        <w:spacing w:after="0" w:line="240" w:lineRule="auto"/>
        <w:jc w:val="center"/>
        <w:rPr>
          <w:b/>
          <w:sz w:val="32"/>
          <w:szCs w:val="32"/>
          <w:lang w:val="it-IT"/>
        </w:rPr>
      </w:pPr>
      <w:r w:rsidRPr="001E0939">
        <w:rPr>
          <w:b/>
          <w:sz w:val="32"/>
          <w:szCs w:val="32"/>
          <w:lang w:val="it-IT"/>
        </w:rPr>
        <w:t>Lingua italiana : cultura e bellezza !</w:t>
      </w:r>
    </w:p>
    <w:p w:rsidR="0078538F" w:rsidRDefault="0078538F" w:rsidP="001E0939">
      <w:pPr>
        <w:spacing w:after="0" w:line="240" w:lineRule="auto"/>
        <w:rPr>
          <w:lang w:val="it-IT"/>
        </w:rPr>
      </w:pPr>
    </w:p>
    <w:p w:rsidR="00F64139" w:rsidRPr="005D1F72" w:rsidRDefault="0078538F" w:rsidP="001E0939">
      <w:pPr>
        <w:spacing w:after="0" w:line="240" w:lineRule="auto"/>
        <w:rPr>
          <w:sz w:val="24"/>
          <w:szCs w:val="24"/>
        </w:rPr>
      </w:pPr>
      <w:r w:rsidRPr="005D1F72">
        <w:rPr>
          <w:sz w:val="24"/>
          <w:szCs w:val="24"/>
        </w:rPr>
        <w:t>L’enseignement de l’italien est assuré au lycée Henri Martin pour l’ensemble des élève</w:t>
      </w:r>
      <w:r w:rsidR="00F64139">
        <w:rPr>
          <w:sz w:val="24"/>
          <w:szCs w:val="24"/>
        </w:rPr>
        <w:t>s, de la Seconde à la Terminale.</w:t>
      </w:r>
      <w:r w:rsidR="009B0AEF">
        <w:rPr>
          <w:sz w:val="24"/>
          <w:szCs w:val="24"/>
        </w:rPr>
        <w:t xml:space="preserve"> </w:t>
      </w:r>
      <w:r w:rsidR="00F64139">
        <w:rPr>
          <w:sz w:val="24"/>
          <w:szCs w:val="24"/>
        </w:rPr>
        <w:t>Le lycée Henri Martin propose l’italien et assure les enseignements de la LVB (langue 2) et de la LVC (langue 3)</w:t>
      </w:r>
      <w:r w:rsidR="00615252">
        <w:rPr>
          <w:sz w:val="24"/>
          <w:szCs w:val="24"/>
        </w:rPr>
        <w:t>.</w:t>
      </w:r>
    </w:p>
    <w:p w:rsidR="0078538F" w:rsidRPr="005D1F72" w:rsidRDefault="0078538F" w:rsidP="001E0939">
      <w:pPr>
        <w:spacing w:after="0" w:line="240" w:lineRule="auto"/>
        <w:rPr>
          <w:sz w:val="24"/>
          <w:szCs w:val="24"/>
        </w:rPr>
      </w:pPr>
    </w:p>
    <w:p w:rsidR="00F64139" w:rsidRDefault="00F64139" w:rsidP="001E09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Choisi comme LVC</w:t>
      </w:r>
      <w:r w:rsidR="0078538F" w:rsidRPr="005D1F72">
        <w:rPr>
          <w:sz w:val="24"/>
          <w:szCs w:val="24"/>
        </w:rPr>
        <w:t xml:space="preserve"> en classe de Secon</w:t>
      </w:r>
      <w:r>
        <w:rPr>
          <w:sz w:val="24"/>
          <w:szCs w:val="24"/>
        </w:rPr>
        <w:t xml:space="preserve">de </w:t>
      </w:r>
      <w:r w:rsidR="0078538F" w:rsidRPr="005D1F72">
        <w:rPr>
          <w:sz w:val="24"/>
          <w:szCs w:val="24"/>
        </w:rPr>
        <w:t xml:space="preserve"> comme option facultative, l’italien </w:t>
      </w:r>
      <w:r>
        <w:rPr>
          <w:sz w:val="24"/>
          <w:szCs w:val="24"/>
        </w:rPr>
        <w:t>sera poursuivi</w:t>
      </w:r>
      <w:r w:rsidR="0078538F" w:rsidRPr="005D1F72">
        <w:rPr>
          <w:sz w:val="24"/>
          <w:szCs w:val="24"/>
        </w:rPr>
        <w:t xml:space="preserve"> en </w:t>
      </w:r>
      <w:r w:rsidR="003F46DB">
        <w:rPr>
          <w:sz w:val="24"/>
          <w:szCs w:val="24"/>
        </w:rPr>
        <w:t>P</w:t>
      </w:r>
      <w:r w:rsidR="0078538F" w:rsidRPr="005D1F72">
        <w:rPr>
          <w:sz w:val="24"/>
          <w:szCs w:val="24"/>
        </w:rPr>
        <w:t xml:space="preserve">remière puis en Terminale </w:t>
      </w:r>
      <w:r>
        <w:rPr>
          <w:sz w:val="24"/>
          <w:szCs w:val="24"/>
        </w:rPr>
        <w:t>et permettra d’obtenir une moyenne, souvent bonne pour les élèves concernés, qui sera comptabilisé</w:t>
      </w:r>
      <w:r w:rsidR="009B0AEF">
        <w:rPr>
          <w:sz w:val="24"/>
          <w:szCs w:val="24"/>
        </w:rPr>
        <w:t xml:space="preserve">e </w:t>
      </w:r>
      <w:r>
        <w:rPr>
          <w:sz w:val="24"/>
          <w:szCs w:val="24"/>
        </w:rPr>
        <w:t>pour l’obtention du Baccalauréat.</w:t>
      </w:r>
    </w:p>
    <w:p w:rsidR="00F64139" w:rsidRDefault="00F64139" w:rsidP="001E0939">
      <w:pPr>
        <w:spacing w:after="0" w:line="240" w:lineRule="auto"/>
        <w:rPr>
          <w:sz w:val="24"/>
          <w:szCs w:val="24"/>
        </w:rPr>
      </w:pPr>
    </w:p>
    <w:p w:rsidR="001E0939" w:rsidRPr="005D1F72" w:rsidRDefault="0078538F" w:rsidP="001E0939">
      <w:pPr>
        <w:spacing w:after="0" w:line="240" w:lineRule="auto"/>
        <w:rPr>
          <w:sz w:val="24"/>
          <w:szCs w:val="24"/>
        </w:rPr>
      </w:pPr>
      <w:r w:rsidRPr="005D1F72">
        <w:rPr>
          <w:sz w:val="24"/>
          <w:szCs w:val="24"/>
        </w:rPr>
        <w:t>Choisir l’italien constitue un atout dans l’apprentissage des élèves en vue du Baccalauréat, mais aussi pour des études supérieures. Apprendre l’italien permet en effet,</w:t>
      </w:r>
      <w:r w:rsidR="001E0939" w:rsidRPr="005D1F72">
        <w:rPr>
          <w:sz w:val="24"/>
          <w:szCs w:val="24"/>
        </w:rPr>
        <w:t xml:space="preserve"> une ouverture sur le monde.</w:t>
      </w:r>
    </w:p>
    <w:p w:rsidR="005D1F72" w:rsidRDefault="005D1F72" w:rsidP="001E0939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1088"/>
        <w:gridCol w:w="3886"/>
      </w:tblGrid>
      <w:tr w:rsidR="001E0939" w:rsidTr="009B0AEF">
        <w:tc>
          <w:tcPr>
            <w:tcW w:w="6062" w:type="dxa"/>
            <w:gridSpan w:val="2"/>
          </w:tcPr>
          <w:p w:rsidR="001E0939" w:rsidRPr="009B0AEF" w:rsidRDefault="001E0939" w:rsidP="001E093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9B0AEF">
              <w:rPr>
                <w:rStyle w:val="lev"/>
                <w:rFonts w:asciiTheme="minorHAnsi" w:hAnsiTheme="minorHAnsi"/>
                <w:sz w:val="18"/>
                <w:szCs w:val="18"/>
              </w:rPr>
              <w:t>Deuxième marché à l’exportation de la France</w:t>
            </w:r>
          </w:p>
          <w:p w:rsidR="001E0939" w:rsidRPr="009B0AEF" w:rsidRDefault="001E0939" w:rsidP="001E093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9B0AEF">
              <w:rPr>
                <w:rFonts w:asciiTheme="minorHAnsi" w:hAnsiTheme="minorHAnsi"/>
                <w:sz w:val="18"/>
                <w:szCs w:val="18"/>
              </w:rPr>
              <w:t xml:space="preserve">A nos portes, facile d’accès (il est simplement bienvenu de parler l’italien), quasiment incontournable dans une stratégie de développement à l’international, l’Italie est de fait, en 2014, le deuxième marché à l’exportation de la France, derrière l’Allemagne. Elle y exporte de la </w:t>
            </w:r>
            <w:r w:rsidRPr="009B0AEF">
              <w:rPr>
                <w:rStyle w:val="lev"/>
                <w:rFonts w:asciiTheme="minorHAnsi" w:hAnsiTheme="minorHAnsi"/>
                <w:sz w:val="18"/>
                <w:szCs w:val="18"/>
              </w:rPr>
              <w:t>métallurgie</w:t>
            </w:r>
            <w:r w:rsidRPr="009B0AEF">
              <w:rPr>
                <w:rFonts w:asciiTheme="minorHAnsi" w:hAnsiTheme="minorHAnsi"/>
                <w:sz w:val="18"/>
                <w:szCs w:val="18"/>
              </w:rPr>
              <w:t xml:space="preserve">, de la </w:t>
            </w:r>
            <w:r w:rsidRPr="009B0AEF">
              <w:rPr>
                <w:rStyle w:val="lev"/>
                <w:rFonts w:asciiTheme="minorHAnsi" w:hAnsiTheme="minorHAnsi"/>
                <w:sz w:val="18"/>
                <w:szCs w:val="18"/>
              </w:rPr>
              <w:t>chimie</w:t>
            </w:r>
            <w:r w:rsidRPr="009B0AEF">
              <w:rPr>
                <w:rFonts w:asciiTheme="minorHAnsi" w:hAnsiTheme="minorHAnsi"/>
                <w:sz w:val="18"/>
                <w:szCs w:val="18"/>
              </w:rPr>
              <w:t>, de l’</w:t>
            </w:r>
            <w:r w:rsidRPr="009B0AEF">
              <w:rPr>
                <w:rStyle w:val="lev"/>
                <w:rFonts w:asciiTheme="minorHAnsi" w:hAnsiTheme="minorHAnsi"/>
                <w:sz w:val="18"/>
                <w:szCs w:val="18"/>
              </w:rPr>
              <w:t>énergie</w:t>
            </w:r>
            <w:r w:rsidRPr="009B0AEF">
              <w:rPr>
                <w:rFonts w:asciiTheme="minorHAnsi" w:hAnsiTheme="minorHAnsi"/>
                <w:sz w:val="18"/>
                <w:szCs w:val="18"/>
              </w:rPr>
              <w:t xml:space="preserve">, des </w:t>
            </w:r>
            <w:r w:rsidRPr="009B0AEF">
              <w:rPr>
                <w:rStyle w:val="lev"/>
                <w:rFonts w:asciiTheme="minorHAnsi" w:hAnsiTheme="minorHAnsi"/>
                <w:sz w:val="18"/>
                <w:szCs w:val="18"/>
              </w:rPr>
              <w:t>équipements de transport</w:t>
            </w:r>
            <w:r w:rsidRPr="009B0AEF">
              <w:rPr>
                <w:rFonts w:asciiTheme="minorHAnsi" w:hAnsiTheme="minorHAnsi"/>
                <w:sz w:val="18"/>
                <w:szCs w:val="18"/>
              </w:rPr>
              <w:t xml:space="preserve">, des </w:t>
            </w:r>
            <w:r w:rsidRPr="009B0AEF">
              <w:rPr>
                <w:rStyle w:val="lev"/>
                <w:rFonts w:asciiTheme="minorHAnsi" w:hAnsiTheme="minorHAnsi"/>
                <w:sz w:val="18"/>
                <w:szCs w:val="18"/>
              </w:rPr>
              <w:t>voitures</w:t>
            </w:r>
            <w:r w:rsidRPr="009B0AEF">
              <w:rPr>
                <w:rFonts w:asciiTheme="minorHAnsi" w:hAnsiTheme="minorHAnsi"/>
                <w:sz w:val="18"/>
                <w:szCs w:val="18"/>
              </w:rPr>
              <w:t xml:space="preserve">, des </w:t>
            </w:r>
            <w:r w:rsidRPr="009B0AEF">
              <w:rPr>
                <w:rStyle w:val="lev"/>
                <w:rFonts w:asciiTheme="minorHAnsi" w:hAnsiTheme="minorHAnsi"/>
                <w:sz w:val="18"/>
                <w:szCs w:val="18"/>
              </w:rPr>
              <w:t>matières premières</w:t>
            </w:r>
            <w:r w:rsidRPr="009B0A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B0AEF">
              <w:rPr>
                <w:rStyle w:val="lev"/>
                <w:rFonts w:asciiTheme="minorHAnsi" w:hAnsiTheme="minorHAnsi"/>
                <w:sz w:val="18"/>
                <w:szCs w:val="18"/>
              </w:rPr>
              <w:t>agricoles</w:t>
            </w:r>
            <w:r w:rsidRPr="009B0AEF">
              <w:rPr>
                <w:rFonts w:asciiTheme="minorHAnsi" w:hAnsiTheme="minorHAnsi"/>
                <w:sz w:val="18"/>
                <w:szCs w:val="18"/>
              </w:rPr>
              <w:t xml:space="preserve">, des </w:t>
            </w:r>
            <w:r w:rsidRPr="009B0AEF">
              <w:rPr>
                <w:rStyle w:val="lev"/>
                <w:rFonts w:asciiTheme="minorHAnsi" w:hAnsiTheme="minorHAnsi"/>
                <w:sz w:val="18"/>
                <w:szCs w:val="18"/>
              </w:rPr>
              <w:t>produits de santé et de bien être</w:t>
            </w:r>
            <w:r w:rsidRPr="009B0AEF">
              <w:rPr>
                <w:rFonts w:asciiTheme="minorHAnsi" w:hAnsiTheme="minorHAnsi"/>
                <w:sz w:val="18"/>
                <w:szCs w:val="18"/>
              </w:rPr>
              <w:t xml:space="preserve">, mais aussi des </w:t>
            </w:r>
            <w:r w:rsidRPr="009B0AEF">
              <w:rPr>
                <w:rStyle w:val="lev"/>
                <w:rFonts w:asciiTheme="minorHAnsi" w:hAnsiTheme="minorHAnsi"/>
                <w:sz w:val="18"/>
                <w:szCs w:val="18"/>
              </w:rPr>
              <w:t>nouvelles technologies</w:t>
            </w:r>
            <w:r w:rsidRPr="009B0AEF">
              <w:rPr>
                <w:rFonts w:asciiTheme="minorHAnsi" w:hAnsiTheme="minorHAnsi"/>
                <w:sz w:val="18"/>
                <w:szCs w:val="18"/>
              </w:rPr>
              <w:t xml:space="preserve"> (plusieurs start-up françaises aux produits innovants y connaissent un beau succès). De belles opportunités existent également dans le domaine de la </w:t>
            </w:r>
            <w:r w:rsidRPr="009B0AEF">
              <w:rPr>
                <w:rStyle w:val="lev"/>
                <w:rFonts w:asciiTheme="minorHAnsi" w:hAnsiTheme="minorHAnsi"/>
                <w:sz w:val="18"/>
                <w:szCs w:val="18"/>
              </w:rPr>
              <w:t>sous-traitance industrielle</w:t>
            </w:r>
            <w:r w:rsidRPr="009B0AEF">
              <w:rPr>
                <w:rFonts w:asciiTheme="minorHAnsi" w:hAnsiTheme="minorHAnsi"/>
                <w:sz w:val="18"/>
                <w:szCs w:val="18"/>
              </w:rPr>
              <w:t>, dans le secteur de l’énergie notamment.</w:t>
            </w:r>
          </w:p>
          <w:p w:rsidR="005D1F72" w:rsidRPr="005D1F72" w:rsidRDefault="005D1F72" w:rsidP="001E09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0939" w:rsidRPr="005D1F72" w:rsidRDefault="001E0939" w:rsidP="001E0939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  <w:lang w:val="en-US"/>
              </w:rPr>
            </w:pPr>
            <w:r w:rsidRPr="005D1F72">
              <w:rPr>
                <w:i/>
                <w:sz w:val="18"/>
                <w:szCs w:val="18"/>
                <w:lang w:val="en-US"/>
              </w:rPr>
              <w:t>Source : Business France</w:t>
            </w:r>
          </w:p>
          <w:p w:rsidR="001E0939" w:rsidRPr="005D1F72" w:rsidRDefault="001E0939" w:rsidP="001E0939">
            <w:pPr>
              <w:rPr>
                <w:i/>
                <w:sz w:val="18"/>
                <w:szCs w:val="18"/>
                <w:lang w:val="en-US"/>
              </w:rPr>
            </w:pPr>
            <w:r w:rsidRPr="005D1F72">
              <w:rPr>
                <w:i/>
                <w:sz w:val="18"/>
                <w:szCs w:val="18"/>
                <w:lang w:val="en-US"/>
              </w:rPr>
              <w:t>http://www.cci-international.picardie.net/la-france-et-litalie-partenaires-commerciaux-de-premier-plan/</w:t>
            </w:r>
          </w:p>
        </w:tc>
        <w:tc>
          <w:tcPr>
            <w:tcW w:w="3886" w:type="dxa"/>
          </w:tcPr>
          <w:p w:rsidR="005D1F72" w:rsidRDefault="005D1F72" w:rsidP="001E0939">
            <w:pPr>
              <w:rPr>
                <w:sz w:val="24"/>
                <w:szCs w:val="24"/>
                <w:lang w:val="en-US"/>
              </w:rPr>
            </w:pPr>
            <w:r w:rsidRPr="005D1F72">
              <w:rPr>
                <w:sz w:val="24"/>
                <w:szCs w:val="24"/>
                <w:lang w:val="en-US"/>
              </w:rPr>
              <w:t xml:space="preserve">             </w:t>
            </w:r>
          </w:p>
          <w:p w:rsidR="005D1F72" w:rsidRDefault="005D1F72" w:rsidP="001E0939">
            <w:pPr>
              <w:rPr>
                <w:sz w:val="24"/>
                <w:szCs w:val="24"/>
                <w:lang w:val="en-US"/>
              </w:rPr>
            </w:pPr>
          </w:p>
          <w:p w:rsidR="001E0939" w:rsidRPr="009B0AEF" w:rsidRDefault="001E0939" w:rsidP="009B0AEF">
            <w:pPr>
              <w:jc w:val="center"/>
              <w:rPr>
                <w:b/>
                <w:sz w:val="24"/>
                <w:szCs w:val="24"/>
              </w:rPr>
            </w:pPr>
            <w:r w:rsidRPr="009B0AEF">
              <w:rPr>
                <w:b/>
                <w:sz w:val="24"/>
                <w:szCs w:val="24"/>
              </w:rPr>
              <w:t>Les élèves pourront s’ouvrir des perspectives professionnelles : parler italien pour vivre ou travailler à l’étranger.</w:t>
            </w:r>
          </w:p>
          <w:p w:rsidR="001E0939" w:rsidRPr="005D1F72" w:rsidRDefault="001E0939" w:rsidP="001E0939">
            <w:pPr>
              <w:rPr>
                <w:sz w:val="24"/>
                <w:szCs w:val="24"/>
              </w:rPr>
            </w:pPr>
          </w:p>
        </w:tc>
      </w:tr>
      <w:tr w:rsidR="009B0AEF" w:rsidTr="009B0AEF">
        <w:trPr>
          <w:trHeight w:val="2805"/>
        </w:trPr>
        <w:tc>
          <w:tcPr>
            <w:tcW w:w="4974" w:type="dxa"/>
          </w:tcPr>
          <w:p w:rsidR="009B0AEF" w:rsidRDefault="009B0AEF" w:rsidP="005D1F72">
            <w:pPr>
              <w:jc w:val="center"/>
              <w:rPr>
                <w:i/>
                <w:sz w:val="18"/>
                <w:szCs w:val="18"/>
              </w:rPr>
            </w:pPr>
          </w:p>
          <w:p w:rsidR="009B0AEF" w:rsidRPr="005D1F72" w:rsidRDefault="009B0AEF" w:rsidP="005D1F72">
            <w:pPr>
              <w:jc w:val="center"/>
              <w:rPr>
                <w:i/>
                <w:sz w:val="18"/>
                <w:szCs w:val="18"/>
              </w:rPr>
            </w:pPr>
            <w:r w:rsidRPr="005D1F72">
              <w:rPr>
                <w:i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372429" cy="1455483"/>
                  <wp:effectExtent l="19050" t="0" r="0" b="0"/>
                  <wp:docPr id="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373" cy="1455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AEF" w:rsidRPr="005D1F72" w:rsidRDefault="009B0AEF" w:rsidP="009B0AEF">
            <w:pPr>
              <w:jc w:val="center"/>
              <w:rPr>
                <w:i/>
                <w:sz w:val="18"/>
                <w:szCs w:val="18"/>
              </w:rPr>
            </w:pPr>
            <w:r w:rsidRPr="005D1F72">
              <w:rPr>
                <w:i/>
                <w:sz w:val="18"/>
                <w:szCs w:val="18"/>
              </w:rPr>
              <w:t>David di Michelangelo, détail</w:t>
            </w:r>
          </w:p>
        </w:tc>
        <w:tc>
          <w:tcPr>
            <w:tcW w:w="4974" w:type="dxa"/>
            <w:gridSpan w:val="2"/>
          </w:tcPr>
          <w:p w:rsidR="009B0AEF" w:rsidRDefault="009B0AEF" w:rsidP="001E0939">
            <w:pPr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 xml:space="preserve">              </w:t>
            </w:r>
          </w:p>
          <w:p w:rsidR="009B0AEF" w:rsidRPr="009B0AEF" w:rsidRDefault="009B0AEF" w:rsidP="001E0939">
            <w:pPr>
              <w:rPr>
                <w:b/>
                <w:sz w:val="24"/>
                <w:szCs w:val="24"/>
              </w:rPr>
            </w:pPr>
            <w:r w:rsidRPr="009B0AEF">
              <w:rPr>
                <w:b/>
                <w:sz w:val="24"/>
                <w:szCs w:val="24"/>
              </w:rPr>
              <w:t xml:space="preserve">              Et comment ne pas évoquer toute la </w:t>
            </w:r>
          </w:p>
          <w:p w:rsidR="009B0AEF" w:rsidRPr="009B0AEF" w:rsidRDefault="009B0AEF" w:rsidP="001E0939">
            <w:pPr>
              <w:rPr>
                <w:b/>
                <w:sz w:val="24"/>
                <w:szCs w:val="24"/>
              </w:rPr>
            </w:pPr>
            <w:r w:rsidRPr="009B0AEF">
              <w:rPr>
                <w:b/>
                <w:sz w:val="24"/>
                <w:szCs w:val="24"/>
              </w:rPr>
              <w:t xml:space="preserve">              richesse artistique de l’Italie ? </w:t>
            </w:r>
          </w:p>
          <w:p w:rsidR="009B0AEF" w:rsidRPr="009B0AEF" w:rsidRDefault="009B0AEF" w:rsidP="001E0939">
            <w:pPr>
              <w:rPr>
                <w:b/>
                <w:sz w:val="24"/>
                <w:szCs w:val="24"/>
              </w:rPr>
            </w:pPr>
            <w:r w:rsidRPr="009B0AEF">
              <w:rPr>
                <w:b/>
                <w:sz w:val="24"/>
                <w:szCs w:val="24"/>
              </w:rPr>
              <w:t xml:space="preserve">              Apprendre l’italien sera l’occasion de  </w:t>
            </w:r>
          </w:p>
          <w:p w:rsidR="009B0AEF" w:rsidRPr="009B0AEF" w:rsidRDefault="009B0AEF" w:rsidP="001E0939">
            <w:pPr>
              <w:rPr>
                <w:b/>
                <w:sz w:val="24"/>
                <w:szCs w:val="24"/>
              </w:rPr>
            </w:pPr>
            <w:r w:rsidRPr="009B0AEF">
              <w:rPr>
                <w:b/>
                <w:sz w:val="24"/>
                <w:szCs w:val="24"/>
              </w:rPr>
              <w:t xml:space="preserve">              découvrir l’histoire de villes et de </w:t>
            </w:r>
          </w:p>
          <w:p w:rsidR="009B0AEF" w:rsidRPr="009B0AEF" w:rsidRDefault="009B0AEF" w:rsidP="001E0939">
            <w:pPr>
              <w:rPr>
                <w:b/>
                <w:sz w:val="24"/>
                <w:szCs w:val="24"/>
              </w:rPr>
            </w:pPr>
            <w:r w:rsidRPr="009B0AEF">
              <w:rPr>
                <w:b/>
                <w:sz w:val="24"/>
                <w:szCs w:val="24"/>
              </w:rPr>
              <w:t xml:space="preserve">              monuments classés au patrimoine   </w:t>
            </w:r>
          </w:p>
          <w:p w:rsidR="009B0AEF" w:rsidRPr="009B0AEF" w:rsidRDefault="009B0AEF" w:rsidP="001E0939">
            <w:pPr>
              <w:rPr>
                <w:b/>
                <w:sz w:val="24"/>
                <w:szCs w:val="24"/>
              </w:rPr>
            </w:pPr>
            <w:r w:rsidRPr="009B0AEF">
              <w:rPr>
                <w:b/>
                <w:sz w:val="24"/>
                <w:szCs w:val="24"/>
              </w:rPr>
              <w:t xml:space="preserve">              mondial de  l’Unesco, l’art pictural et </w:t>
            </w:r>
          </w:p>
          <w:p w:rsidR="009B0AEF" w:rsidRPr="005D1F72" w:rsidRDefault="009B0AEF" w:rsidP="001E0939">
            <w:pPr>
              <w:rPr>
                <w:sz w:val="24"/>
                <w:szCs w:val="24"/>
              </w:rPr>
            </w:pPr>
            <w:r w:rsidRPr="009B0AEF">
              <w:rPr>
                <w:b/>
                <w:sz w:val="24"/>
                <w:szCs w:val="24"/>
              </w:rPr>
              <w:t xml:space="preserve">              architectural, les grands auteurs.</w:t>
            </w:r>
          </w:p>
        </w:tc>
      </w:tr>
      <w:tr w:rsidR="009B0AEF" w:rsidTr="009B0AEF">
        <w:trPr>
          <w:trHeight w:val="1253"/>
        </w:trPr>
        <w:tc>
          <w:tcPr>
            <w:tcW w:w="6062" w:type="dxa"/>
            <w:gridSpan w:val="2"/>
            <w:vMerge w:val="restart"/>
          </w:tcPr>
          <w:p w:rsidR="009B0AEF" w:rsidRDefault="009B0AEF" w:rsidP="005D1F72">
            <w:pPr>
              <w:jc w:val="center"/>
              <w:rPr>
                <w:sz w:val="24"/>
                <w:szCs w:val="18"/>
              </w:rPr>
            </w:pPr>
          </w:p>
          <w:p w:rsidR="009B0AEF" w:rsidRPr="009B0AEF" w:rsidRDefault="009B0AEF" w:rsidP="005D1F72">
            <w:pPr>
              <w:jc w:val="center"/>
              <w:rPr>
                <w:b/>
                <w:sz w:val="18"/>
                <w:szCs w:val="18"/>
              </w:rPr>
            </w:pPr>
            <w:r w:rsidRPr="009B0AEF">
              <w:rPr>
                <w:b/>
                <w:sz w:val="24"/>
                <w:szCs w:val="18"/>
              </w:rPr>
              <w:t>Sans oublier les séjours culturels dont les élèves pourront bénéficier au cours de leur scolarité au lycée Henri Martin !</w:t>
            </w:r>
          </w:p>
          <w:p w:rsidR="009B0AEF" w:rsidRDefault="009B0AEF" w:rsidP="009B0AEF">
            <w:pPr>
              <w:jc w:val="center"/>
              <w:rPr>
                <w:i/>
                <w:sz w:val="20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1222753" cy="1630393"/>
                  <wp:effectExtent l="19050" t="0" r="0" b="0"/>
                  <wp:docPr id="12" name="Image 4" descr="R:\ITALIANO lycée\Photos 2018-2019\20190327_125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:\ITALIANO lycée\Photos 2018-2019\20190327_125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748" cy="1637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AEF" w:rsidRPr="009B0AEF" w:rsidRDefault="009B0AEF" w:rsidP="009B0AEF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20"/>
                <w:szCs w:val="48"/>
              </w:rPr>
              <w:t>Voyage à</w:t>
            </w:r>
            <w:r w:rsidRPr="009B0AEF">
              <w:rPr>
                <w:i/>
                <w:sz w:val="20"/>
                <w:szCs w:val="48"/>
              </w:rPr>
              <w:t xml:space="preserve"> Milan en 2019</w:t>
            </w:r>
          </w:p>
        </w:tc>
        <w:tc>
          <w:tcPr>
            <w:tcW w:w="3886" w:type="dxa"/>
          </w:tcPr>
          <w:p w:rsidR="009B0AEF" w:rsidRDefault="009B0AEF" w:rsidP="009B0A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1564496" cy="1173193"/>
                  <wp:effectExtent l="19050" t="0" r="0" b="0"/>
                  <wp:docPr id="13" name="Image 1" descr="C:\Users\legrix\AppData\Local\Temp\7zO013DC0E7\IMG_20170323_144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grix\AppData\Local\Temp\7zO013DC0E7\IMG_20170323_144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111" cy="1178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AEF" w:rsidRPr="009B0AEF" w:rsidRDefault="009B0AEF" w:rsidP="009B0AEF">
            <w:pPr>
              <w:jc w:val="center"/>
              <w:rPr>
                <w:i/>
                <w:sz w:val="20"/>
                <w:szCs w:val="48"/>
              </w:rPr>
            </w:pPr>
            <w:r w:rsidRPr="009B0AEF">
              <w:rPr>
                <w:i/>
                <w:sz w:val="20"/>
                <w:szCs w:val="48"/>
              </w:rPr>
              <w:t>Voyage à Venise en 2017</w:t>
            </w:r>
          </w:p>
        </w:tc>
      </w:tr>
      <w:tr w:rsidR="009B0AEF" w:rsidTr="009B0AEF">
        <w:tc>
          <w:tcPr>
            <w:tcW w:w="6062" w:type="dxa"/>
            <w:gridSpan w:val="2"/>
            <w:vMerge/>
          </w:tcPr>
          <w:p w:rsidR="009B0AEF" w:rsidRPr="009B0AEF" w:rsidRDefault="009B0AEF" w:rsidP="009B0AEF">
            <w:pPr>
              <w:jc w:val="center"/>
              <w:rPr>
                <w:i/>
                <w:sz w:val="20"/>
                <w:szCs w:val="48"/>
              </w:rPr>
            </w:pPr>
          </w:p>
        </w:tc>
        <w:tc>
          <w:tcPr>
            <w:tcW w:w="3886" w:type="dxa"/>
          </w:tcPr>
          <w:p w:rsidR="009B0AEF" w:rsidRDefault="009B0AEF" w:rsidP="009B0AEF">
            <w:pPr>
              <w:jc w:val="center"/>
              <w:rPr>
                <w:i/>
                <w:sz w:val="20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1548566" cy="871268"/>
                  <wp:effectExtent l="19050" t="0" r="0" b="0"/>
                  <wp:docPr id="14" name="Image 2" descr="R:\ITALIANO lycée\photos emilie romagne\Mme Legrix\20180322_103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:\ITALIANO lycée\photos emilie romagne\Mme Legrix\20180322_103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087" cy="873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AEF" w:rsidRPr="009B0AEF" w:rsidRDefault="009B0AEF" w:rsidP="009B0AEF">
            <w:pPr>
              <w:jc w:val="center"/>
              <w:rPr>
                <w:i/>
                <w:sz w:val="20"/>
                <w:szCs w:val="48"/>
              </w:rPr>
            </w:pPr>
            <w:r w:rsidRPr="009B0AEF">
              <w:rPr>
                <w:i/>
                <w:sz w:val="20"/>
                <w:szCs w:val="48"/>
              </w:rPr>
              <w:t>Voyage en Emilie  Romagne en 2018</w:t>
            </w:r>
          </w:p>
        </w:tc>
      </w:tr>
    </w:tbl>
    <w:p w:rsidR="001E0939" w:rsidRPr="004268F7" w:rsidRDefault="005D1F72" w:rsidP="004268F7">
      <w:pPr>
        <w:spacing w:after="0" w:line="240" w:lineRule="auto"/>
        <w:rPr>
          <w:b/>
        </w:rPr>
      </w:pPr>
      <w:r w:rsidRPr="004268F7">
        <w:rPr>
          <w:b/>
          <w:sz w:val="48"/>
          <w:szCs w:val="48"/>
        </w:rPr>
        <w:t xml:space="preserve">Apprendre l’italien : choisir </w:t>
      </w:r>
      <w:r w:rsidR="004268F7" w:rsidRPr="004268F7">
        <w:rPr>
          <w:b/>
          <w:sz w:val="48"/>
          <w:szCs w:val="48"/>
        </w:rPr>
        <w:t xml:space="preserve">la culture et </w:t>
      </w:r>
      <w:r w:rsidRPr="004268F7">
        <w:rPr>
          <w:b/>
          <w:sz w:val="48"/>
          <w:szCs w:val="48"/>
        </w:rPr>
        <w:t>l’</w:t>
      </w:r>
      <w:r w:rsidR="004268F7" w:rsidRPr="004268F7">
        <w:rPr>
          <w:b/>
          <w:sz w:val="48"/>
          <w:szCs w:val="48"/>
        </w:rPr>
        <w:t>avenir</w:t>
      </w:r>
      <w:r w:rsidR="00615252">
        <w:rPr>
          <w:b/>
          <w:sz w:val="48"/>
          <w:szCs w:val="48"/>
        </w:rPr>
        <w:t> !</w:t>
      </w:r>
    </w:p>
    <w:sectPr w:rsidR="001E0939" w:rsidRPr="004268F7" w:rsidSect="00F64139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8F"/>
    <w:rsid w:val="001E0939"/>
    <w:rsid w:val="00252EBD"/>
    <w:rsid w:val="00315CE5"/>
    <w:rsid w:val="003F46DB"/>
    <w:rsid w:val="004268F7"/>
    <w:rsid w:val="004954AF"/>
    <w:rsid w:val="005D1F72"/>
    <w:rsid w:val="00615252"/>
    <w:rsid w:val="00621540"/>
    <w:rsid w:val="006456B2"/>
    <w:rsid w:val="0078538F"/>
    <w:rsid w:val="009B0AEF"/>
    <w:rsid w:val="00A64EB5"/>
    <w:rsid w:val="00D24A00"/>
    <w:rsid w:val="00F613B9"/>
    <w:rsid w:val="00F64139"/>
    <w:rsid w:val="00FC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88F33-17C3-4EF4-8ADA-C6BA4FC0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E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9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E0939"/>
    <w:rPr>
      <w:b/>
      <w:bCs/>
    </w:rPr>
  </w:style>
  <w:style w:type="table" w:styleId="Grilledutableau">
    <w:name w:val="Table Grid"/>
    <w:basedOn w:val="TableauNormal"/>
    <w:uiPriority w:val="59"/>
    <w:rsid w:val="001E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Silvia</cp:lastModifiedBy>
  <cp:revision>2</cp:revision>
  <cp:lastPrinted>2016-01-15T08:22:00Z</cp:lastPrinted>
  <dcterms:created xsi:type="dcterms:W3CDTF">2021-03-13T18:20:00Z</dcterms:created>
  <dcterms:modified xsi:type="dcterms:W3CDTF">2021-03-13T18:20:00Z</dcterms:modified>
</cp:coreProperties>
</file>